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29B22" w14:textId="1E5F69B1" w:rsidR="0036203D" w:rsidRPr="007E7A57" w:rsidRDefault="0036203D" w:rsidP="0036203D">
      <w:pPr>
        <w:pStyle w:val="Titel"/>
      </w:pPr>
      <w:r>
        <w:t>Stellungnahme</w:t>
      </w:r>
      <w:r w:rsidRPr="007E7A57">
        <w:t xml:space="preserve"> zum </w:t>
      </w:r>
      <w:r>
        <w:t xml:space="preserve">Entwurf </w:t>
      </w:r>
      <w:proofErr w:type="gramStart"/>
      <w:r>
        <w:t xml:space="preserve">des </w:t>
      </w:r>
      <w:r w:rsidRPr="007E7A57">
        <w:t>OIB</w:t>
      </w:r>
      <w:r>
        <w:t>-Leitfaden</w:t>
      </w:r>
      <w:proofErr w:type="gramEnd"/>
      <w:r>
        <w:t xml:space="preserve"> „Zirkuläres Planen und Bauen“</w:t>
      </w:r>
    </w:p>
    <w:p w14:paraId="62364E73" w14:textId="13E4007F" w:rsidR="0036203D" w:rsidRPr="007E7A57" w:rsidRDefault="0036203D" w:rsidP="0036203D">
      <w:pPr>
        <w:pStyle w:val="Untertitel"/>
        <w:rPr>
          <w:szCs w:val="20"/>
        </w:rPr>
      </w:pPr>
      <w:r>
        <w:rPr>
          <w:szCs w:val="20"/>
        </w:rPr>
        <w:t>Ha</w:t>
      </w:r>
      <w:r w:rsidR="0000659D">
        <w:rPr>
          <w:szCs w:val="20"/>
        </w:rPr>
        <w:t>b</w:t>
      </w:r>
      <w:r>
        <w:rPr>
          <w:szCs w:val="20"/>
        </w:rPr>
        <w:t>itat 2030, 20.09</w:t>
      </w:r>
      <w:r w:rsidRPr="007E7A57">
        <w:rPr>
          <w:szCs w:val="20"/>
        </w:rPr>
        <w:t>.2026</w:t>
      </w:r>
      <w:r>
        <w:rPr>
          <w:szCs w:val="20"/>
        </w:rPr>
        <w:t xml:space="preserve"> </w:t>
      </w:r>
    </w:p>
    <w:p w14:paraId="43C91D1E" w14:textId="0602936C" w:rsidR="000823EC" w:rsidRPr="000823EC" w:rsidRDefault="000823EC" w:rsidP="000823EC">
      <w:pPr>
        <w:rPr>
          <w:lang w:val="de-DE"/>
        </w:rPr>
      </w:pPr>
      <w:r w:rsidRPr="000823EC">
        <w:rPr>
          <w:lang w:val="de-DE"/>
        </w:rPr>
        <w:t>Der Entwurf der OIB</w:t>
      </w:r>
      <w:r>
        <w:rPr>
          <w:lang w:val="de-DE"/>
        </w:rPr>
        <w:t xml:space="preserve">7 </w:t>
      </w:r>
      <w:r w:rsidRPr="000823EC">
        <w:rPr>
          <w:lang w:val="de-DE"/>
        </w:rPr>
        <w:t>-R</w:t>
      </w:r>
      <w:r>
        <w:rPr>
          <w:lang w:val="de-DE"/>
        </w:rPr>
        <w:t>L</w:t>
      </w:r>
      <w:r w:rsidRPr="000823EC">
        <w:rPr>
          <w:lang w:val="de-DE"/>
        </w:rPr>
        <w:t xml:space="preserve"> „Nachhaltige Nutzung der natürlichen Ressourcen“ setzt die Anforderungen der novellierten Europäischen Gebäuderichtlinie (EPBD) sowie der Delegierten Verordnung (EU) 2026/52 zur Bewertung des Lebenszyklus-Treibhauspotenzials von Gebäuden um. Die Betrachtung wird dabei vom reinen Energieverbrauch im Betrieb auf den gesamten Gebäudelebenszyklus erweitert und umfasst Herstellung, Errichtung, Nutzung, Austausch, Rückbau, Wiederverwendung, Recycling und Entsorgung. </w:t>
      </w:r>
    </w:p>
    <w:p w14:paraId="156EE21D" w14:textId="2CE5BC0A" w:rsidR="000823EC" w:rsidRPr="000823EC" w:rsidRDefault="000823EC" w:rsidP="000823EC">
      <w:pPr>
        <w:rPr>
          <w:lang w:val="de-DE"/>
        </w:rPr>
      </w:pPr>
      <w:r w:rsidRPr="000823EC">
        <w:rPr>
          <w:lang w:val="de-DE"/>
        </w:rPr>
        <w:t xml:space="preserve">Die europäische Kreislaufwirtschaftspolitik verfolgt jedoch weitergehende Ziele als die reine Reduktion von Treibhausgasemissionen. Im Mittelpunkt stehen die Schonung natürlicher Ressourcen, die Reduktion des Primärrohstoffverbrauchs, die Verlängerung von Nutzungsdauern sowie die Schaffung geschlossener Materialkreisläufe. Gebäude sollen künftig als langfristige Materiallager verstanden werden, deren Bauteile und Baustoffe möglichst lange genutzt und erneut in Wertschöpfungskreisläufe zurückgeführt werden können. </w:t>
      </w:r>
    </w:p>
    <w:p w14:paraId="59E540AF" w14:textId="0A5A7168" w:rsidR="000823EC" w:rsidRPr="000823EC" w:rsidRDefault="000823EC" w:rsidP="000823EC">
      <w:pPr>
        <w:rPr>
          <w:lang w:val="de-DE"/>
        </w:rPr>
      </w:pPr>
      <w:r w:rsidRPr="000823EC">
        <w:rPr>
          <w:lang w:val="de-DE"/>
        </w:rPr>
        <w:t>Vor diesem Hintergrund stellt der OIB</w:t>
      </w:r>
      <w:r>
        <w:rPr>
          <w:lang w:val="de-DE"/>
        </w:rPr>
        <w:t>7</w:t>
      </w:r>
      <w:r w:rsidRPr="000823EC">
        <w:rPr>
          <w:lang w:val="de-DE"/>
        </w:rPr>
        <w:t>-Leitfaden „Zirkuläres Planen und Bauen“ eine wichtige fachliche Ergänzung zu</w:t>
      </w:r>
      <w:r>
        <w:rPr>
          <w:lang w:val="de-DE"/>
        </w:rPr>
        <w:t>m Entwurf der RL</w:t>
      </w:r>
      <w:r w:rsidRPr="000823EC">
        <w:rPr>
          <w:lang w:val="de-DE"/>
        </w:rPr>
        <w:t xml:space="preserve"> dar. Er übernimmt deren Lebenszykluslogik, erweitert diese jedoch um qualitative, planerische und konstruktive Anforderungen, die für eine ressourcenschonende und kreislauforientierte Bauwirtschaft erforderlich sind.  </w:t>
      </w:r>
    </w:p>
    <w:p w14:paraId="4AEF64B9" w14:textId="727C160F" w:rsidR="000823EC" w:rsidRPr="000823EC" w:rsidRDefault="000823EC" w:rsidP="000823EC">
      <w:pPr>
        <w:rPr>
          <w:b/>
          <w:bCs/>
          <w:lang w:val="de-DE"/>
        </w:rPr>
      </w:pPr>
      <w:r w:rsidRPr="000823EC">
        <w:rPr>
          <w:b/>
          <w:bCs/>
          <w:lang w:val="de-DE"/>
        </w:rPr>
        <w:t>Ressourcenschonung im Entwurf der OIB</w:t>
      </w:r>
      <w:r>
        <w:rPr>
          <w:b/>
          <w:bCs/>
          <w:lang w:val="de-DE"/>
        </w:rPr>
        <w:t>7</w:t>
      </w:r>
      <w:r w:rsidRPr="000823EC">
        <w:rPr>
          <w:b/>
          <w:bCs/>
          <w:lang w:val="de-DE"/>
        </w:rPr>
        <w:t>-R</w:t>
      </w:r>
      <w:r>
        <w:rPr>
          <w:b/>
          <w:bCs/>
          <w:lang w:val="de-DE"/>
        </w:rPr>
        <w:t>L</w:t>
      </w:r>
    </w:p>
    <w:p w14:paraId="5CF7DD4E" w14:textId="4CD94F2C" w:rsidR="000823EC" w:rsidRPr="000823EC" w:rsidRDefault="000823EC" w:rsidP="000823EC">
      <w:pPr>
        <w:rPr>
          <w:lang w:val="de-DE"/>
        </w:rPr>
      </w:pPr>
      <w:r w:rsidRPr="000823EC">
        <w:rPr>
          <w:lang w:val="de-DE"/>
        </w:rPr>
        <w:t xml:space="preserve">Der Entwurf integriert bereits zentrale Grundsätze der Kreislaufwirtschaft. Besonders hervorzuheben ist die Möglichkeit, wiederverwendete Bauteile mit einem GWP-Wert von Null anzusetzen. Dadurch wird der Einsatz von Re-Use-Bauteilen und Sekundärmaterialien innerhalb der Ökobilanzierung ausdrücklich gefördert. </w:t>
      </w:r>
    </w:p>
    <w:p w14:paraId="2BF1D9D8" w14:textId="64E2E4E0" w:rsidR="000823EC" w:rsidRPr="000823EC" w:rsidRDefault="000823EC" w:rsidP="000823EC">
      <w:pPr>
        <w:rPr>
          <w:lang w:val="de-DE"/>
        </w:rPr>
      </w:pPr>
      <w:r w:rsidRPr="000823EC">
        <w:rPr>
          <w:lang w:val="de-DE"/>
        </w:rPr>
        <w:t>Darüber hinaus werden sämtliche wesentlichen Lebenszyklusphasen eines Gebäudes bilanziert. Neben Herstellung und Nutzung umfasst die Bewertung auch Rückbau, Transport, Aufbereitung zur Wieder</w:t>
      </w:r>
      <w:r>
        <w:rPr>
          <w:lang w:val="de-DE"/>
        </w:rPr>
        <w:t xml:space="preserve">- </w:t>
      </w:r>
      <w:proofErr w:type="spellStart"/>
      <w:r>
        <w:rPr>
          <w:lang w:val="de-DE"/>
        </w:rPr>
        <w:t>bzw</w:t>
      </w:r>
      <w:proofErr w:type="spellEnd"/>
      <w:r>
        <w:rPr>
          <w:lang w:val="de-DE"/>
        </w:rPr>
        <w:t xml:space="preserve"> Weiter</w:t>
      </w:r>
      <w:r w:rsidRPr="000823EC">
        <w:rPr>
          <w:lang w:val="de-DE"/>
        </w:rPr>
        <w:t xml:space="preserve">verwendung oder zum Recycling sowie die Entsorgung. Zusätzlich </w:t>
      </w:r>
      <w:r>
        <w:rPr>
          <w:lang w:val="de-DE"/>
        </w:rPr>
        <w:t>werden</w:t>
      </w:r>
      <w:r w:rsidRPr="000823EC">
        <w:rPr>
          <w:lang w:val="de-DE"/>
        </w:rPr>
        <w:t xml:space="preserve"> potenzielle Vorteile aus Wiederverwendung, Recycling und Energierückgewinnung über die Module D1 und D2 berücksichtigt. Aus Sicht der Kreislaufwirtschaft wäre jedoch eine getrennte Ausweisung dieser Potenziale entsprechend der ÖNORM EN 15978 sinnvoll, um die tatsächlichen Vorteile der einzelnen Strategien besser sichtbar zu machen. </w:t>
      </w:r>
    </w:p>
    <w:p w14:paraId="783F0B82" w14:textId="6F734E33" w:rsidR="000823EC" w:rsidRPr="000823EC" w:rsidRDefault="000823EC" w:rsidP="000823EC">
      <w:pPr>
        <w:rPr>
          <w:b/>
          <w:bCs/>
          <w:lang w:val="de-DE"/>
        </w:rPr>
      </w:pPr>
      <w:r w:rsidRPr="000823EC">
        <w:rPr>
          <w:b/>
          <w:bCs/>
          <w:lang w:val="de-DE"/>
        </w:rPr>
        <w:t>Erweiterung der Ressourcenschonung durch den OIB</w:t>
      </w:r>
      <w:r>
        <w:rPr>
          <w:b/>
          <w:bCs/>
          <w:lang w:val="de-DE"/>
        </w:rPr>
        <w:t>7</w:t>
      </w:r>
      <w:r w:rsidRPr="000823EC">
        <w:rPr>
          <w:b/>
          <w:bCs/>
          <w:lang w:val="de-DE"/>
        </w:rPr>
        <w:t>-Leitfaden</w:t>
      </w:r>
    </w:p>
    <w:p w14:paraId="25A9647A" w14:textId="787E0841" w:rsidR="000823EC" w:rsidRPr="000823EC" w:rsidRDefault="000823EC" w:rsidP="000823EC">
      <w:pPr>
        <w:rPr>
          <w:lang w:val="de-DE"/>
        </w:rPr>
      </w:pPr>
      <w:r w:rsidRPr="000823EC">
        <w:rPr>
          <w:lang w:val="de-DE"/>
        </w:rPr>
        <w:t xml:space="preserve">Der Leitfaden verfolgt einen deutlich umfassenderen Ansatz und versteht Ressourcenschonung als übergeordnetes Planungsprinzip über den gesamten Gebäudelebenszyklus hinweg. Im Mittelpunkt stehen Maßnahmen, die bereits vor der Materialproduktion ansetzen und so den Ressourcenverbrauch grundsätzlich reduzieren. </w:t>
      </w:r>
    </w:p>
    <w:p w14:paraId="72B72F6A" w14:textId="77777777" w:rsidR="005E552D" w:rsidRDefault="005E552D" w:rsidP="000823EC">
      <w:pPr>
        <w:rPr>
          <w:b/>
          <w:bCs/>
          <w:lang w:val="de-DE"/>
        </w:rPr>
      </w:pPr>
    </w:p>
    <w:p w14:paraId="6E8065AC" w14:textId="0BA9232D" w:rsidR="000823EC" w:rsidRPr="000823EC" w:rsidRDefault="000823EC" w:rsidP="000823EC">
      <w:pPr>
        <w:rPr>
          <w:b/>
          <w:bCs/>
          <w:lang w:val="de-DE"/>
        </w:rPr>
      </w:pPr>
      <w:r w:rsidRPr="000823EC">
        <w:rPr>
          <w:b/>
          <w:bCs/>
          <w:lang w:val="de-DE"/>
        </w:rPr>
        <w:lastRenderedPageBreak/>
        <w:t>Bestandserhalt vor Neubau</w:t>
      </w:r>
    </w:p>
    <w:p w14:paraId="4EC97104" w14:textId="160F90FD" w:rsidR="000823EC" w:rsidRPr="000823EC" w:rsidRDefault="000823EC" w:rsidP="000823EC">
      <w:pPr>
        <w:rPr>
          <w:lang w:val="de-DE"/>
        </w:rPr>
      </w:pPr>
      <w:r w:rsidRPr="000823EC">
        <w:rPr>
          <w:lang w:val="de-DE"/>
        </w:rPr>
        <w:t xml:space="preserve">Ein wesentlicher Schwerpunkt des Leitfadens liegt auf dem Erhalt bestehender Bausubstanz. Weiterverwendung, Umnutzung, Nachverdichtung und Integration vorhandener Gebäude werden gegenüber dem Ersatzneubau priorisiert. Rückbau und Abbruch sollen nachvollziehbar begründet werden. Damit wird die höchste Stufe der Ressourcenschonung adressiert, nämlich die Vermeidung des Verlustes bereits gebundener Materialien und grauer Energie. </w:t>
      </w:r>
    </w:p>
    <w:p w14:paraId="21019845" w14:textId="77777777" w:rsidR="000823EC" w:rsidRPr="000823EC" w:rsidRDefault="000823EC" w:rsidP="000823EC">
      <w:pPr>
        <w:rPr>
          <w:b/>
          <w:bCs/>
          <w:lang w:val="de-DE"/>
        </w:rPr>
      </w:pPr>
      <w:r w:rsidRPr="000823EC">
        <w:rPr>
          <w:b/>
          <w:bCs/>
          <w:lang w:val="de-DE"/>
        </w:rPr>
        <w:t>Ressourcenbilanz und Gebäuderessourcenpass</w:t>
      </w:r>
    </w:p>
    <w:p w14:paraId="553B6588" w14:textId="14441424" w:rsidR="000823EC" w:rsidRPr="000823EC" w:rsidRDefault="000823EC" w:rsidP="000823EC">
      <w:pPr>
        <w:rPr>
          <w:lang w:val="de-DE"/>
        </w:rPr>
      </w:pPr>
      <w:r w:rsidRPr="000823EC">
        <w:rPr>
          <w:lang w:val="de-DE"/>
        </w:rPr>
        <w:t>Während die OIB</w:t>
      </w:r>
      <w:r>
        <w:rPr>
          <w:lang w:val="de-DE"/>
        </w:rPr>
        <w:t>7</w:t>
      </w:r>
      <w:r w:rsidRPr="000823EC">
        <w:rPr>
          <w:lang w:val="de-DE"/>
        </w:rPr>
        <w:t>-R</w:t>
      </w:r>
      <w:r>
        <w:rPr>
          <w:lang w:val="de-DE"/>
        </w:rPr>
        <w:t>L</w:t>
      </w:r>
      <w:r w:rsidRPr="000823EC">
        <w:rPr>
          <w:lang w:val="de-DE"/>
        </w:rPr>
        <w:t xml:space="preserve"> primär die Dokumentation der Ökobilanz fordert, sieht der Leitfaden eine umfassende Ressourcenbilanz vor. Er umfasst die Erfassung von Baustoffen und Bauteilen, deren Verbindungen, BIM-Modelle, Wartungsinformationen sowie Rückbau- und Wiederverwendungspotenziale. Dadurch entsteht die Grundlage für zukünftige Material- und Gebäuderessourcenpässe und damit für eine langfristige Bewirtschaftung von Gebäuden als Rohstofflager. </w:t>
      </w:r>
    </w:p>
    <w:p w14:paraId="62B303C5" w14:textId="77777777" w:rsidR="000823EC" w:rsidRPr="000823EC" w:rsidRDefault="000823EC" w:rsidP="000823EC">
      <w:pPr>
        <w:rPr>
          <w:b/>
          <w:bCs/>
          <w:lang w:val="de-DE"/>
        </w:rPr>
      </w:pPr>
      <w:r w:rsidRPr="000823EC">
        <w:rPr>
          <w:b/>
          <w:bCs/>
          <w:lang w:val="de-DE"/>
        </w:rPr>
        <w:t xml:space="preserve">Design for </w:t>
      </w:r>
      <w:proofErr w:type="spellStart"/>
      <w:r w:rsidRPr="000823EC">
        <w:rPr>
          <w:b/>
          <w:bCs/>
          <w:lang w:val="de-DE"/>
        </w:rPr>
        <w:t>Disassembly</w:t>
      </w:r>
      <w:proofErr w:type="spellEnd"/>
    </w:p>
    <w:p w14:paraId="08A495F4" w14:textId="2B153A89" w:rsidR="000823EC" w:rsidRPr="000823EC" w:rsidRDefault="000823EC" w:rsidP="000823EC">
      <w:pPr>
        <w:rPr>
          <w:lang w:val="de-DE"/>
        </w:rPr>
      </w:pPr>
      <w:r w:rsidRPr="000823EC">
        <w:rPr>
          <w:lang w:val="de-DE"/>
        </w:rPr>
        <w:t>Ein zentraler Beitrag zur Kreislaufwirtschaft ist die Forderung nach demontagegerechtem Bauen. Der Leitfaden fordert lösbare Verbindungen</w:t>
      </w:r>
      <w:r>
        <w:rPr>
          <w:lang w:val="de-DE"/>
        </w:rPr>
        <w:t xml:space="preserve"> bei Bauteilen</w:t>
      </w:r>
      <w:r w:rsidRPr="000823EC">
        <w:rPr>
          <w:lang w:val="de-DE"/>
        </w:rPr>
        <w:t>, sortenreine Konstruktionen, trennbare Schichten und die Reduktion von Verbundmaterialien. Dadurch wird die spätere Wiederverwendung und hochwertige Verwertung von Bauteilen überhaupt erst ermöglicht. Die</w:t>
      </w:r>
      <w:r>
        <w:rPr>
          <w:lang w:val="de-DE"/>
        </w:rPr>
        <w:t xml:space="preserve">s ist im </w:t>
      </w:r>
      <w:r w:rsidRPr="000823EC">
        <w:rPr>
          <w:lang w:val="de-DE"/>
        </w:rPr>
        <w:t>OIB</w:t>
      </w:r>
      <w:r>
        <w:rPr>
          <w:lang w:val="de-DE"/>
        </w:rPr>
        <w:t>7</w:t>
      </w:r>
      <w:r w:rsidRPr="000823EC">
        <w:rPr>
          <w:lang w:val="de-DE"/>
        </w:rPr>
        <w:t>-R</w:t>
      </w:r>
      <w:r>
        <w:rPr>
          <w:lang w:val="de-DE"/>
        </w:rPr>
        <w:t>L</w:t>
      </w:r>
      <w:r w:rsidRPr="000823EC">
        <w:rPr>
          <w:lang w:val="de-DE"/>
        </w:rPr>
        <w:t xml:space="preserve"> </w:t>
      </w:r>
      <w:r>
        <w:rPr>
          <w:lang w:val="de-DE"/>
        </w:rPr>
        <w:t xml:space="preserve">Entwurf nicht abgebildet damit wäre der Leitfaden </w:t>
      </w:r>
      <w:r w:rsidR="005E552D">
        <w:rPr>
          <w:lang w:val="de-DE"/>
        </w:rPr>
        <w:t>eine sehr gute Ergänzung.</w:t>
      </w:r>
    </w:p>
    <w:p w14:paraId="2D196F02" w14:textId="77777777" w:rsidR="000823EC" w:rsidRPr="000823EC" w:rsidRDefault="000823EC" w:rsidP="000823EC">
      <w:pPr>
        <w:rPr>
          <w:b/>
          <w:bCs/>
          <w:lang w:val="de-DE"/>
        </w:rPr>
      </w:pPr>
      <w:r w:rsidRPr="000823EC">
        <w:rPr>
          <w:b/>
          <w:bCs/>
          <w:lang w:val="de-DE"/>
        </w:rPr>
        <w:t>Nutzungsflexibilität, Suffizienz und Reparierbarkeit</w:t>
      </w:r>
    </w:p>
    <w:p w14:paraId="43C47080" w14:textId="56FFF873" w:rsidR="000823EC" w:rsidRPr="000823EC" w:rsidRDefault="000823EC" w:rsidP="000823EC">
      <w:pPr>
        <w:rPr>
          <w:lang w:val="de-DE"/>
        </w:rPr>
      </w:pPr>
      <w:r w:rsidRPr="000823EC">
        <w:rPr>
          <w:lang w:val="de-DE"/>
        </w:rPr>
        <w:t xml:space="preserve">Der Leitfaden erweitert die Betrachtung von der Material- auf die Gebäudeebene. Im Vordergrund stehen Strategien zur Verlängerung der Gebäudenutzungsdauer, darunter Nutzungsflexibilität, </w:t>
      </w:r>
      <w:proofErr w:type="spellStart"/>
      <w:r w:rsidRPr="000823EC">
        <w:rPr>
          <w:lang w:val="de-DE"/>
        </w:rPr>
        <w:t>Umnutzbarkeit</w:t>
      </w:r>
      <w:proofErr w:type="spellEnd"/>
      <w:r w:rsidRPr="000823EC">
        <w:rPr>
          <w:lang w:val="de-DE"/>
        </w:rPr>
        <w:t xml:space="preserve">, Weiterbaubarkeit, </w:t>
      </w:r>
      <w:proofErr w:type="spellStart"/>
      <w:r w:rsidRPr="000823EC">
        <w:rPr>
          <w:lang w:val="de-DE"/>
        </w:rPr>
        <w:t>Aufstockbarkeit</w:t>
      </w:r>
      <w:proofErr w:type="spellEnd"/>
      <w:r w:rsidRPr="000823EC">
        <w:rPr>
          <w:lang w:val="de-DE"/>
        </w:rPr>
        <w:t>, Flächeneffizienz, gemeinschaftliche Nutzungen und Energiegemeinschaften. Ergänzt werden diese Ansätze durch Anforderungen an Wartbarkeit, Reparierbarkeit und Austauschbarkeit von Bauteilen. Dies entspricht dem europäischen Grundsatz</w:t>
      </w:r>
      <w:r w:rsidR="00033BC6">
        <w:rPr>
          <w:lang w:val="de-DE"/>
        </w:rPr>
        <w:t xml:space="preserve"> und </w:t>
      </w:r>
      <w:r w:rsidR="005E552D">
        <w:rPr>
          <w:lang w:val="de-DE"/>
        </w:rPr>
        <w:t>würde</w:t>
      </w:r>
      <w:r w:rsidR="00033BC6">
        <w:rPr>
          <w:lang w:val="de-DE"/>
        </w:rPr>
        <w:t xml:space="preserve"> diese in der OIB7 abbilden.</w:t>
      </w:r>
    </w:p>
    <w:p w14:paraId="621CB0FF" w14:textId="77777777" w:rsidR="000823EC" w:rsidRPr="000823EC" w:rsidRDefault="000823EC" w:rsidP="000823EC">
      <w:pPr>
        <w:rPr>
          <w:b/>
          <w:bCs/>
          <w:lang w:val="de-DE"/>
        </w:rPr>
      </w:pPr>
      <w:r w:rsidRPr="000823EC">
        <w:rPr>
          <w:b/>
          <w:bCs/>
          <w:lang w:val="de-DE"/>
        </w:rPr>
        <w:t>Rückbaustrategie</w:t>
      </w:r>
    </w:p>
    <w:p w14:paraId="01BEFFF5" w14:textId="0D7741ED" w:rsidR="000823EC" w:rsidRPr="000823EC" w:rsidRDefault="000823EC" w:rsidP="000823EC">
      <w:pPr>
        <w:rPr>
          <w:lang w:val="de-DE"/>
        </w:rPr>
      </w:pPr>
      <w:r w:rsidRPr="000823EC">
        <w:rPr>
          <w:lang w:val="de-DE"/>
        </w:rPr>
        <w:t xml:space="preserve">Besonders innovativ ist die Forderung nach einer projektspezifischen Rückbaustrategie bereits in der Planungsphase. Rückbaukonzept, Stoffstromplanung, Wiederverwendungspotenziale und Rückbaureihenfolge werden dabei frühzeitig dokumentiert. Der Rückbau wird somit nicht mehr als reine Entsorgungsaufgabe, sondern als integraler Bestandteil des Gebäudelebenszyklus verstanden. </w:t>
      </w:r>
    </w:p>
    <w:p w14:paraId="0511E89A" w14:textId="77777777" w:rsidR="000823EC" w:rsidRPr="00485163" w:rsidRDefault="000823EC">
      <w:pPr>
        <w:rPr>
          <w:lang w:val="de-DE"/>
        </w:rPr>
      </w:pPr>
    </w:p>
    <w:sectPr w:rsidR="000823EC" w:rsidRPr="0048516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kkurat LL TT">
    <w:altName w:val="Calibri"/>
    <w:charset w:val="00"/>
    <w:family w:val="swiss"/>
    <w:pitch w:val="variable"/>
    <w:sig w:usb0="A10000FF" w:usb1="5000A47B" w:usb2="00000008"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01D7"/>
    <w:multiLevelType w:val="hybridMultilevel"/>
    <w:tmpl w:val="98A6A95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1DD2243"/>
    <w:multiLevelType w:val="multilevel"/>
    <w:tmpl w:val="CE08AA7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E75B9"/>
    <w:multiLevelType w:val="multilevel"/>
    <w:tmpl w:val="16DC7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4C4DAC"/>
    <w:multiLevelType w:val="multilevel"/>
    <w:tmpl w:val="2E1C3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945D0"/>
    <w:multiLevelType w:val="multilevel"/>
    <w:tmpl w:val="23C6D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734D51"/>
    <w:multiLevelType w:val="multilevel"/>
    <w:tmpl w:val="AA446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746ACD"/>
    <w:multiLevelType w:val="hybridMultilevel"/>
    <w:tmpl w:val="2916BEC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14412B7F"/>
    <w:multiLevelType w:val="multilevel"/>
    <w:tmpl w:val="A71C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67F5D"/>
    <w:multiLevelType w:val="multilevel"/>
    <w:tmpl w:val="D39E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03F9B"/>
    <w:multiLevelType w:val="hybridMultilevel"/>
    <w:tmpl w:val="AEA685A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0" w15:restartNumberingAfterBreak="0">
    <w:nsid w:val="24062651"/>
    <w:multiLevelType w:val="hybridMultilevel"/>
    <w:tmpl w:val="5F8608F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1" w15:restartNumberingAfterBreak="0">
    <w:nsid w:val="376F58B0"/>
    <w:multiLevelType w:val="multilevel"/>
    <w:tmpl w:val="CE08AA7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F12A99"/>
    <w:multiLevelType w:val="hybridMultilevel"/>
    <w:tmpl w:val="C39249F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3E242CEC"/>
    <w:multiLevelType w:val="multilevel"/>
    <w:tmpl w:val="303A9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D65D08"/>
    <w:multiLevelType w:val="hybridMultilevel"/>
    <w:tmpl w:val="8D5A311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406517AC"/>
    <w:multiLevelType w:val="hybridMultilevel"/>
    <w:tmpl w:val="CF2662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8C74274"/>
    <w:multiLevelType w:val="multilevel"/>
    <w:tmpl w:val="359C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923285"/>
    <w:multiLevelType w:val="multilevel"/>
    <w:tmpl w:val="CE08AA7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26750C"/>
    <w:multiLevelType w:val="multilevel"/>
    <w:tmpl w:val="5CF0D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AB3869"/>
    <w:multiLevelType w:val="multilevel"/>
    <w:tmpl w:val="8DFC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DB6C2C"/>
    <w:multiLevelType w:val="multilevel"/>
    <w:tmpl w:val="46E0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8E2652"/>
    <w:multiLevelType w:val="hybridMultilevel"/>
    <w:tmpl w:val="7CD6A71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2" w15:restartNumberingAfterBreak="0">
    <w:nsid w:val="63395969"/>
    <w:multiLevelType w:val="multilevel"/>
    <w:tmpl w:val="BF70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1857D5"/>
    <w:multiLevelType w:val="multilevel"/>
    <w:tmpl w:val="CE08AA7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921ABF"/>
    <w:multiLevelType w:val="multilevel"/>
    <w:tmpl w:val="74682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6E0D31"/>
    <w:multiLevelType w:val="multilevel"/>
    <w:tmpl w:val="77C8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C72F34"/>
    <w:multiLevelType w:val="hybridMultilevel"/>
    <w:tmpl w:val="4E78C1C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092431200">
    <w:abstractNumId w:val="16"/>
  </w:num>
  <w:num w:numId="2" w16cid:durableId="454642014">
    <w:abstractNumId w:val="3"/>
  </w:num>
  <w:num w:numId="3" w16cid:durableId="995842504">
    <w:abstractNumId w:val="25"/>
  </w:num>
  <w:num w:numId="4" w16cid:durableId="1030226275">
    <w:abstractNumId w:val="4"/>
  </w:num>
  <w:num w:numId="5" w16cid:durableId="381097925">
    <w:abstractNumId w:val="18"/>
  </w:num>
  <w:num w:numId="6" w16cid:durableId="1128625696">
    <w:abstractNumId w:val="5"/>
  </w:num>
  <w:num w:numId="7" w16cid:durableId="282886064">
    <w:abstractNumId w:val="24"/>
  </w:num>
  <w:num w:numId="8" w16cid:durableId="340546822">
    <w:abstractNumId w:val="22"/>
  </w:num>
  <w:num w:numId="9" w16cid:durableId="611473134">
    <w:abstractNumId w:val="2"/>
  </w:num>
  <w:num w:numId="10" w16cid:durableId="1976714899">
    <w:abstractNumId w:val="14"/>
  </w:num>
  <w:num w:numId="11" w16cid:durableId="935216092">
    <w:abstractNumId w:val="0"/>
  </w:num>
  <w:num w:numId="12" w16cid:durableId="2092311625">
    <w:abstractNumId w:val="12"/>
  </w:num>
  <w:num w:numId="13" w16cid:durableId="84619117">
    <w:abstractNumId w:val="10"/>
  </w:num>
  <w:num w:numId="14" w16cid:durableId="1757634423">
    <w:abstractNumId w:val="6"/>
  </w:num>
  <w:num w:numId="15" w16cid:durableId="660156322">
    <w:abstractNumId w:val="9"/>
  </w:num>
  <w:num w:numId="16" w16cid:durableId="78334696">
    <w:abstractNumId w:val="21"/>
  </w:num>
  <w:num w:numId="17" w16cid:durableId="976304444">
    <w:abstractNumId w:val="26"/>
  </w:num>
  <w:num w:numId="18" w16cid:durableId="1497569523">
    <w:abstractNumId w:val="23"/>
  </w:num>
  <w:num w:numId="19" w16cid:durableId="1205677669">
    <w:abstractNumId w:val="1"/>
  </w:num>
  <w:num w:numId="20" w16cid:durableId="750195525">
    <w:abstractNumId w:val="15"/>
  </w:num>
  <w:num w:numId="21" w16cid:durableId="832333431">
    <w:abstractNumId w:val="8"/>
  </w:num>
  <w:num w:numId="22" w16cid:durableId="405231468">
    <w:abstractNumId w:val="13"/>
  </w:num>
  <w:num w:numId="23" w16cid:durableId="1180967936">
    <w:abstractNumId w:val="7"/>
  </w:num>
  <w:num w:numId="24" w16cid:durableId="408770364">
    <w:abstractNumId w:val="20"/>
  </w:num>
  <w:num w:numId="25" w16cid:durableId="1995450700">
    <w:abstractNumId w:val="19"/>
  </w:num>
  <w:num w:numId="26" w16cid:durableId="236405949">
    <w:abstractNumId w:val="11"/>
  </w:num>
  <w:num w:numId="27" w16cid:durableId="10141901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34A"/>
    <w:rsid w:val="0000659D"/>
    <w:rsid w:val="00033BC6"/>
    <w:rsid w:val="00047433"/>
    <w:rsid w:val="000823EC"/>
    <w:rsid w:val="001B0963"/>
    <w:rsid w:val="002571FD"/>
    <w:rsid w:val="00276681"/>
    <w:rsid w:val="0036203D"/>
    <w:rsid w:val="003C4A29"/>
    <w:rsid w:val="00484DEE"/>
    <w:rsid w:val="00485163"/>
    <w:rsid w:val="004B5AB8"/>
    <w:rsid w:val="004D7351"/>
    <w:rsid w:val="005B2B97"/>
    <w:rsid w:val="005E552D"/>
    <w:rsid w:val="005F17E9"/>
    <w:rsid w:val="006C763C"/>
    <w:rsid w:val="007350A2"/>
    <w:rsid w:val="007E7FC8"/>
    <w:rsid w:val="0081434A"/>
    <w:rsid w:val="00817C3C"/>
    <w:rsid w:val="00832104"/>
    <w:rsid w:val="00894A05"/>
    <w:rsid w:val="008C5690"/>
    <w:rsid w:val="008E2B00"/>
    <w:rsid w:val="008E60BA"/>
    <w:rsid w:val="00AE12AA"/>
    <w:rsid w:val="00E64A9A"/>
    <w:rsid w:val="00F85A2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AE0E"/>
  <w15:chartTrackingRefBased/>
  <w15:docId w15:val="{C9E52FC2-2075-4425-BCD6-8D42CA5F7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kkurat LL TT" w:eastAsiaTheme="minorHAnsi" w:hAnsi="Akkurat LL TT" w:cs="Akkurat LL TT"/>
        <w:kern w:val="2"/>
        <w:sz w:val="22"/>
        <w:lang w:val="de-AT" w:eastAsia="en-US" w:bidi="ar-SA"/>
        <w14:ligatures w14:val="standardContextual"/>
      </w:rPr>
    </w:rPrDefault>
    <w:pPrDefault>
      <w:pPr>
        <w:spacing w:after="27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32104"/>
  </w:style>
  <w:style w:type="paragraph" w:styleId="berschrift1">
    <w:name w:val="heading 1"/>
    <w:basedOn w:val="Standard"/>
    <w:next w:val="Standard"/>
    <w:link w:val="berschrift1Zchn"/>
    <w:uiPriority w:val="9"/>
    <w:qFormat/>
    <w:rsid w:val="008321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321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3210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3210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32104"/>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832104"/>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32104"/>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832104"/>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32104"/>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3210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3210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32104"/>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32104"/>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32104"/>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832104"/>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32104"/>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832104"/>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32104"/>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8321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3210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3210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32104"/>
    <w:rPr>
      <w:rFonts w:asciiTheme="minorHAnsi" w:eastAsiaTheme="majorEastAsia" w:hAnsiTheme="minorHAnsi" w:cstheme="majorBidi"/>
      <w:color w:val="595959" w:themeColor="text1" w:themeTint="A6"/>
      <w:spacing w:val="15"/>
      <w:sz w:val="28"/>
      <w:szCs w:val="28"/>
    </w:rPr>
  </w:style>
  <w:style w:type="paragraph" w:styleId="Listenabsatz">
    <w:name w:val="List Paragraph"/>
    <w:basedOn w:val="Standard"/>
    <w:uiPriority w:val="34"/>
    <w:qFormat/>
    <w:rsid w:val="00832104"/>
    <w:pPr>
      <w:ind w:left="720"/>
      <w:contextualSpacing/>
    </w:pPr>
  </w:style>
  <w:style w:type="paragraph" w:styleId="Zitat">
    <w:name w:val="Quote"/>
    <w:basedOn w:val="Standard"/>
    <w:next w:val="Standard"/>
    <w:link w:val="ZitatZchn"/>
    <w:uiPriority w:val="29"/>
    <w:qFormat/>
    <w:rsid w:val="0083210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32104"/>
    <w:rPr>
      <w:i/>
      <w:iCs/>
      <w:color w:val="404040" w:themeColor="text1" w:themeTint="BF"/>
    </w:rPr>
  </w:style>
  <w:style w:type="paragraph" w:styleId="IntensivesZitat">
    <w:name w:val="Intense Quote"/>
    <w:basedOn w:val="Standard"/>
    <w:next w:val="Standard"/>
    <w:link w:val="IntensivesZitatZchn"/>
    <w:uiPriority w:val="30"/>
    <w:qFormat/>
    <w:rsid w:val="008321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32104"/>
    <w:rPr>
      <w:i/>
      <w:iCs/>
      <w:color w:val="0F4761" w:themeColor="accent1" w:themeShade="BF"/>
    </w:rPr>
  </w:style>
  <w:style w:type="character" w:styleId="IntensiveHervorhebung">
    <w:name w:val="Intense Emphasis"/>
    <w:basedOn w:val="Absatz-Standardschriftart"/>
    <w:uiPriority w:val="21"/>
    <w:qFormat/>
    <w:rsid w:val="00832104"/>
    <w:rPr>
      <w:i/>
      <w:iCs/>
      <w:color w:val="0F4761" w:themeColor="accent1" w:themeShade="BF"/>
    </w:rPr>
  </w:style>
  <w:style w:type="character" w:styleId="IntensiverVerweis">
    <w:name w:val="Intense Reference"/>
    <w:basedOn w:val="Absatz-Standardschriftart"/>
    <w:uiPriority w:val="32"/>
    <w:qFormat/>
    <w:rsid w:val="00832104"/>
    <w:rPr>
      <w:b/>
      <w:bCs/>
      <w:smallCaps/>
      <w:color w:val="0F4761" w:themeColor="accent1" w:themeShade="BF"/>
      <w:spacing w:val="5"/>
    </w:rPr>
  </w:style>
  <w:style w:type="character" w:styleId="Hyperlink">
    <w:name w:val="Hyperlink"/>
    <w:basedOn w:val="Absatz-Standardschriftart"/>
    <w:uiPriority w:val="99"/>
    <w:unhideWhenUsed/>
    <w:rsid w:val="0081434A"/>
    <w:rPr>
      <w:color w:val="467886" w:themeColor="hyperlink"/>
      <w:u w:val="single"/>
    </w:rPr>
  </w:style>
  <w:style w:type="character" w:styleId="NichtaufgelsteErwhnung">
    <w:name w:val="Unresolved Mention"/>
    <w:basedOn w:val="Absatz-Standardschriftart"/>
    <w:uiPriority w:val="99"/>
    <w:semiHidden/>
    <w:unhideWhenUsed/>
    <w:rsid w:val="0081434A"/>
    <w:rPr>
      <w:color w:val="605E5C"/>
      <w:shd w:val="clear" w:color="auto" w:fill="E1DFDD"/>
    </w:rPr>
  </w:style>
  <w:style w:type="character" w:styleId="BesuchterLink">
    <w:name w:val="FollowedHyperlink"/>
    <w:basedOn w:val="Absatz-Standardschriftart"/>
    <w:uiPriority w:val="99"/>
    <w:semiHidden/>
    <w:unhideWhenUsed/>
    <w:rsid w:val="0081434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kkurat LL TT"/>
        <a:ea typeface=""/>
        <a:cs typeface=""/>
      </a:majorFont>
      <a:minorFont>
        <a:latin typeface="Akkurat LL T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4464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Axel Laimer-Liedtke</dc:creator>
  <cp:keywords/>
  <dc:description/>
  <cp:lastModifiedBy>WORSTER Jakob</cp:lastModifiedBy>
  <cp:revision>2</cp:revision>
  <dcterms:created xsi:type="dcterms:W3CDTF">2026-09-22T15:42:00Z</dcterms:created>
  <dcterms:modified xsi:type="dcterms:W3CDTF">2026-09-22T15:42:00Z</dcterms:modified>
</cp:coreProperties>
</file>